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5227CC">
        <w:rPr>
          <w:rFonts w:ascii="Arial" w:hAnsi="Arial" w:cs="Arial"/>
          <w:b/>
          <w:szCs w:val="24"/>
          <w:u w:val="single"/>
        </w:rPr>
        <w:t>5</w:t>
      </w:r>
      <w:r w:rsidR="00C55BFC">
        <w:rPr>
          <w:rFonts w:ascii="Arial" w:hAnsi="Arial" w:cs="Arial"/>
          <w:b/>
          <w:szCs w:val="24"/>
          <w:u w:val="single"/>
        </w:rPr>
        <w:t>8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215CE4"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215CE4">
        <w:rPr>
          <w:rFonts w:ascii="Arial" w:hAnsi="Arial" w:cs="Arial"/>
          <w:sz w:val="24"/>
          <w:szCs w:val="24"/>
        </w:rPr>
        <w:t>REALIZAR</w:t>
      </w:r>
      <w:r w:rsidR="006C486B">
        <w:rPr>
          <w:rFonts w:ascii="Arial" w:hAnsi="Arial" w:cs="Arial"/>
          <w:sz w:val="24"/>
          <w:szCs w:val="24"/>
        </w:rPr>
        <w:t xml:space="preserve"> REGULARIZAÇÃO DO LOTEAMENTO PRÓXIMO AS MADEIREIRAS COM ADEQUAÇÃO E EXECUÇÃO DE OBRAS DE INFRAESTRUTURA NECESSÁRIAS CONFORME RELATÓRIO DO MINISTÉRIO PÚBLICO</w:t>
      </w:r>
      <w:r w:rsidR="005227C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6C486B">
        <w:rPr>
          <w:rFonts w:ascii="Arial" w:hAnsi="Arial" w:cs="Arial"/>
          <w:sz w:val="24"/>
          <w:szCs w:val="24"/>
        </w:rPr>
        <w:t>04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6C486B">
        <w:rPr>
          <w:rFonts w:ascii="Arial" w:hAnsi="Arial" w:cs="Arial"/>
          <w:sz w:val="24"/>
          <w:szCs w:val="24"/>
        </w:rPr>
        <w:t>agosto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215CE4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Cleomar Eterno de Campos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86B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BFC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0ED2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1CBE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99320-C15B-40F0-AD7F-D8FD6886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5</cp:revision>
  <cp:lastPrinted>2023-08-04T18:30:00Z</cp:lastPrinted>
  <dcterms:created xsi:type="dcterms:W3CDTF">2023-08-04T12:50:00Z</dcterms:created>
  <dcterms:modified xsi:type="dcterms:W3CDTF">2023-08-04T18:55:00Z</dcterms:modified>
</cp:coreProperties>
</file>