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60A283">
      <w:pPr>
        <w:widowControl/>
        <w:autoSpaceDE/>
        <w:autoSpaceDN/>
        <w:spacing w:line="360" w:lineRule="auto"/>
        <w:jc w:val="both"/>
        <w:rPr>
          <w:rFonts w:ascii="Arial" w:hAnsi="Arial" w:cs="Arial"/>
          <w:b/>
          <w:color w:val="000000"/>
          <w:sz w:val="24"/>
          <w:szCs w:val="24"/>
          <w:lang w:val="pt-BR" w:eastAsia="pt-BR"/>
        </w:rPr>
      </w:pPr>
      <w:r>
        <w:rPr>
          <w:rFonts w:hint="default" w:ascii="Arial" w:hAnsi="Arial" w:cs="Arial"/>
          <w:b/>
          <w:color w:val="000000"/>
          <w:sz w:val="24"/>
          <w:szCs w:val="24"/>
          <w:lang w:val="en-US" w:eastAsia="pt-BR"/>
        </w:rPr>
        <w:t>AUTOGRAFO</w:t>
      </w:r>
      <w:r>
        <w:rPr>
          <w:rFonts w:ascii="Arial" w:hAnsi="Arial" w:cs="Arial"/>
          <w:b/>
          <w:color w:val="000000"/>
          <w:sz w:val="24"/>
          <w:szCs w:val="24"/>
          <w:lang w:val="pt-BR" w:eastAsia="pt-BR"/>
        </w:rPr>
        <w:t xml:space="preserve"> DE LEI ORDINÁRIA Nº 0</w:t>
      </w:r>
      <w:r>
        <w:rPr>
          <w:rFonts w:hint="default" w:ascii="Arial" w:hAnsi="Arial" w:cs="Arial"/>
          <w:b/>
          <w:color w:val="000000"/>
          <w:sz w:val="24"/>
          <w:szCs w:val="24"/>
          <w:lang w:val="en-US" w:eastAsia="pt-BR"/>
        </w:rPr>
        <w:t>65</w:t>
      </w:r>
      <w:r>
        <w:rPr>
          <w:rFonts w:ascii="Arial" w:hAnsi="Arial" w:cs="Arial"/>
          <w:b/>
          <w:color w:val="000000"/>
          <w:sz w:val="24"/>
          <w:szCs w:val="24"/>
          <w:lang w:val="pt-BR" w:eastAsia="pt-BR"/>
        </w:rPr>
        <w:t>/2024</w:t>
      </w:r>
    </w:p>
    <w:p w14:paraId="1B7D11B6">
      <w:pPr>
        <w:widowControl/>
        <w:autoSpaceDE/>
        <w:autoSpaceDN/>
        <w:spacing w:line="360" w:lineRule="auto"/>
        <w:jc w:val="both"/>
        <w:rPr>
          <w:rFonts w:ascii="Arial" w:hAnsi="Arial" w:cs="Arial"/>
          <w:b w:val="0"/>
          <w:bCs/>
          <w:color w:val="000000"/>
          <w:lang w:val="pt-BR" w:eastAsia="pt-BR"/>
        </w:rPr>
      </w:pPr>
      <w:r>
        <w:rPr>
          <w:rFonts w:ascii="Arial" w:hAnsi="Arial" w:cs="Arial"/>
          <w:b w:val="0"/>
          <w:bCs/>
          <w:color w:val="000000"/>
          <w:lang w:val="pt-BR" w:eastAsia="pt-BR"/>
        </w:rPr>
        <w:t>De 0</w:t>
      </w:r>
      <w:r>
        <w:rPr>
          <w:rFonts w:hint="default" w:ascii="Arial" w:hAnsi="Arial" w:cs="Arial"/>
          <w:b w:val="0"/>
          <w:bCs/>
          <w:color w:val="000000"/>
          <w:lang w:val="en-US" w:eastAsia="pt-BR"/>
        </w:rPr>
        <w:t>3</w:t>
      </w:r>
      <w:r>
        <w:rPr>
          <w:rFonts w:ascii="Arial" w:hAnsi="Arial" w:cs="Arial"/>
          <w:b w:val="0"/>
          <w:bCs/>
          <w:color w:val="000000"/>
          <w:lang w:val="pt-BR" w:eastAsia="pt-BR"/>
        </w:rPr>
        <w:t xml:space="preserve"> de </w:t>
      </w:r>
      <w:r>
        <w:rPr>
          <w:rFonts w:hint="default" w:ascii="Arial" w:hAnsi="Arial" w:cs="Arial"/>
          <w:b w:val="0"/>
          <w:bCs/>
          <w:color w:val="000000"/>
          <w:lang w:val="en-US" w:eastAsia="pt-BR"/>
        </w:rPr>
        <w:t>setembr</w:t>
      </w:r>
      <w:r>
        <w:rPr>
          <w:rFonts w:ascii="Arial" w:hAnsi="Arial" w:cs="Arial"/>
          <w:b w:val="0"/>
          <w:bCs/>
          <w:color w:val="000000"/>
          <w:lang w:val="pt-BR" w:eastAsia="pt-BR"/>
        </w:rPr>
        <w:t>o de 2024</w:t>
      </w:r>
    </w:p>
    <w:p w14:paraId="2537E0D3">
      <w:pPr>
        <w:widowControl/>
        <w:autoSpaceDE/>
        <w:autoSpaceDN/>
        <w:spacing w:line="360" w:lineRule="auto"/>
        <w:jc w:val="both"/>
        <w:rPr>
          <w:rFonts w:ascii="Arial" w:hAnsi="Arial" w:cs="Arial"/>
          <w:b/>
          <w:color w:val="000000"/>
          <w:lang w:val="pt-BR" w:eastAsia="pt-BR"/>
        </w:rPr>
      </w:pPr>
    </w:p>
    <w:p w14:paraId="213EABAA">
      <w:pPr>
        <w:adjustRightInd w:val="0"/>
        <w:ind w:left="4536"/>
        <w:jc w:val="both"/>
        <w:rPr>
          <w:rFonts w:ascii="Arial" w:hAnsi="Arial" w:cs="Arial"/>
          <w:b/>
          <w:sz w:val="24"/>
          <w:szCs w:val="24"/>
          <w:lang w:val="pt-BR" w:eastAsia="pt-BR"/>
        </w:rPr>
      </w:pPr>
    </w:p>
    <w:p w14:paraId="31714C8E">
      <w:pPr>
        <w:adjustRightInd w:val="0"/>
        <w:ind w:left="3969"/>
        <w:jc w:val="both"/>
        <w:rPr>
          <w:rFonts w:ascii="Arial" w:hAnsi="Arial" w:cs="Arial"/>
          <w:sz w:val="24"/>
          <w:szCs w:val="24"/>
          <w:lang w:val="pt-BR" w:eastAsia="pt-BR"/>
        </w:rPr>
      </w:pPr>
      <w:r>
        <w:rPr>
          <w:rFonts w:ascii="Arial" w:hAnsi="Arial" w:cs="Arial"/>
          <w:b/>
          <w:sz w:val="24"/>
          <w:szCs w:val="24"/>
          <w:lang w:val="pt-BR" w:eastAsia="pt-BR"/>
        </w:rPr>
        <w:t>SÚMULA:</w:t>
      </w:r>
      <w:r>
        <w:rPr>
          <w:rFonts w:ascii="Arial" w:hAnsi="Arial" w:cs="Arial"/>
          <w:sz w:val="24"/>
          <w:szCs w:val="24"/>
          <w:lang w:val="pt-BR" w:eastAsia="pt-BR"/>
        </w:rPr>
        <w:t xml:space="preserve"> DISPÕE SOBRE O TRAÇADO E A DENOMINAÇÃO D</w:t>
      </w:r>
      <w:r>
        <w:rPr>
          <w:rFonts w:hint="default" w:ascii="Arial" w:hAnsi="Arial" w:cs="Arial"/>
          <w:sz w:val="24"/>
          <w:szCs w:val="24"/>
          <w:lang w:val="en-US" w:eastAsia="pt-BR"/>
        </w:rPr>
        <w:t>E</w:t>
      </w:r>
      <w:r>
        <w:rPr>
          <w:rFonts w:ascii="Arial" w:hAnsi="Arial" w:cs="Arial"/>
          <w:sz w:val="24"/>
          <w:szCs w:val="24"/>
          <w:lang w:val="pt-BR" w:eastAsia="pt-BR"/>
        </w:rPr>
        <w:t xml:space="preserve"> CICLOVIA E DÁ OUTRAS PROVIDÊNCIAS.</w:t>
      </w:r>
    </w:p>
    <w:p w14:paraId="7E659C3C">
      <w:pPr>
        <w:widowControl/>
        <w:autoSpaceDE/>
        <w:autoSpaceDN/>
        <w:ind w:left="3969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7E435C62">
      <w:pPr>
        <w:spacing w:after="120" w:line="360" w:lineRule="auto"/>
        <w:ind w:left="0" w:leftChars="0" w:firstLine="660" w:firstLineChars="27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Senhor </w:t>
      </w:r>
      <w:r>
        <w:rPr>
          <w:rFonts w:ascii="Arial" w:hAnsi="Arial" w:cs="Arial"/>
          <w:b/>
          <w:sz w:val="24"/>
          <w:szCs w:val="24"/>
        </w:rPr>
        <w:t>ELDER GOBBI</w:t>
      </w:r>
      <w:r>
        <w:rPr>
          <w:rFonts w:ascii="Arial" w:hAnsi="Arial" w:cs="Arial"/>
          <w:sz w:val="24"/>
          <w:szCs w:val="24"/>
        </w:rPr>
        <w:t>, Presidente da Câmara Municipal de Tapurah, Estado de Mato Grosso, no uso de suas atribuições legais, faz saber que o Plenário da Câmara aprovou o seguinte Projeto de Lei:</w:t>
      </w:r>
    </w:p>
    <w:p w14:paraId="23275644">
      <w:pPr>
        <w:widowControl/>
        <w:autoSpaceDE/>
        <w:autoSpaceDN/>
        <w:ind w:left="2835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3CBAC018">
      <w:pPr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/>
        <w:autoSpaceDN/>
        <w:spacing w:line="360" w:lineRule="auto"/>
        <w:ind w:firstLine="720"/>
        <w:jc w:val="both"/>
        <w:rPr>
          <w:rFonts w:ascii="Arial" w:hAnsi="Arial" w:cs="Arial"/>
          <w:sz w:val="24"/>
          <w:szCs w:val="24"/>
          <w:lang w:val="pt-BR" w:eastAsia="pt-BR"/>
        </w:rPr>
      </w:pPr>
      <w:r>
        <w:rPr>
          <w:rFonts w:ascii="Arial" w:hAnsi="Arial" w:cs="Arial"/>
          <w:b/>
          <w:sz w:val="24"/>
          <w:szCs w:val="24"/>
          <w:lang w:val="pt-BR" w:eastAsia="pt-BR"/>
        </w:rPr>
        <w:t>Art. 1º.</w:t>
      </w:r>
      <w:r>
        <w:rPr>
          <w:rFonts w:ascii="Arial" w:hAnsi="Arial" w:cs="Arial"/>
          <w:sz w:val="24"/>
          <w:szCs w:val="24"/>
          <w:lang w:val="pt-BR" w:eastAsia="pt-BR"/>
        </w:rPr>
        <w:t xml:space="preserve"> Fica </w:t>
      </w:r>
      <w:r>
        <w:rPr>
          <w:rFonts w:hint="default" w:ascii="Arial" w:hAnsi="Arial" w:cs="Arial"/>
          <w:sz w:val="24"/>
          <w:szCs w:val="24"/>
          <w:lang w:val="en-US" w:eastAsia="pt-BR"/>
        </w:rPr>
        <w:t>denominado</w:t>
      </w:r>
      <w:r>
        <w:rPr>
          <w:rFonts w:ascii="Arial" w:hAnsi="Arial" w:cs="Arial"/>
          <w:sz w:val="24"/>
          <w:szCs w:val="24"/>
          <w:lang w:val="pt-BR" w:eastAsia="pt-BR"/>
        </w:rPr>
        <w:t xml:space="preserve"> </w:t>
      </w:r>
      <w:r>
        <w:rPr>
          <w:rFonts w:hint="default" w:ascii="Arial" w:hAnsi="Arial" w:cs="Arial"/>
          <w:sz w:val="24"/>
          <w:szCs w:val="24"/>
          <w:lang w:val="en-US" w:eastAsia="pt-BR"/>
        </w:rPr>
        <w:t>de</w:t>
      </w:r>
      <w:r>
        <w:rPr>
          <w:rFonts w:ascii="Arial" w:hAnsi="Arial" w:cs="Arial"/>
          <w:sz w:val="24"/>
          <w:szCs w:val="24"/>
          <w:lang w:val="pt-BR" w:eastAsia="pt-BR"/>
        </w:rPr>
        <w:t xml:space="preserve"> </w:t>
      </w:r>
      <w:r>
        <w:rPr>
          <w:rFonts w:ascii="Arial" w:hAnsi="Arial" w:cs="Arial"/>
          <w:b/>
          <w:sz w:val="24"/>
          <w:szCs w:val="24"/>
          <w:lang w:val="pt-BR" w:eastAsia="pt-BR"/>
        </w:rPr>
        <w:t xml:space="preserve">Ciclovia “Vó Gema” </w:t>
      </w:r>
      <w:r>
        <w:rPr>
          <w:rFonts w:hint="default" w:ascii="Arial" w:hAnsi="Arial" w:cs="Arial"/>
          <w:b w:val="0"/>
          <w:bCs/>
          <w:sz w:val="24"/>
          <w:szCs w:val="24"/>
          <w:lang w:val="en-US" w:eastAsia="pt-BR"/>
        </w:rPr>
        <w:t>c</w:t>
      </w:r>
      <w:r>
        <w:rPr>
          <w:rFonts w:ascii="Arial" w:hAnsi="Arial" w:cs="Arial"/>
          <w:sz w:val="24"/>
          <w:szCs w:val="24"/>
          <w:lang w:val="pt-BR" w:eastAsia="pt-BR"/>
        </w:rPr>
        <w:t xml:space="preserve">om o traçado de </w:t>
      </w:r>
      <w:r>
        <w:rPr>
          <w:rFonts w:ascii="Arial" w:hAnsi="Arial" w:cs="Arial"/>
          <w:b/>
          <w:sz w:val="24"/>
          <w:szCs w:val="24"/>
          <w:lang w:val="pt-BR" w:eastAsia="pt-BR"/>
        </w:rPr>
        <w:t>25,5 km</w:t>
      </w:r>
      <w:r>
        <w:rPr>
          <w:rFonts w:ascii="Arial" w:hAnsi="Arial" w:cs="Arial"/>
          <w:sz w:val="24"/>
          <w:szCs w:val="24"/>
          <w:lang w:val="pt-BR" w:eastAsia="pt-BR"/>
        </w:rPr>
        <w:t xml:space="preserve"> (vinte e cinco, virgula  cinco quilômetros) de extensão, tendo seu início paralelo a Avenida Brasil, seguindo a Estrada Municipal Linha do Borges encerrando o Traçado na Rodovia Estadual MT-010 com as seguintes coordenadas, iniciando no vértice </w:t>
      </w:r>
      <w:r>
        <w:rPr>
          <w:rFonts w:ascii="Arial" w:hAnsi="Arial" w:cs="Arial"/>
          <w:b/>
          <w:sz w:val="24"/>
          <w:szCs w:val="24"/>
          <w:lang w:val="pt-BR" w:eastAsia="pt-BR"/>
        </w:rPr>
        <w:t>V1</w:t>
      </w:r>
      <w:r>
        <w:rPr>
          <w:rFonts w:ascii="Arial" w:hAnsi="Arial" w:cs="Arial"/>
          <w:sz w:val="24"/>
          <w:szCs w:val="24"/>
          <w:lang w:val="pt-BR" w:eastAsia="pt-BR"/>
        </w:rPr>
        <w:t xml:space="preserve">, de coordenadas </w:t>
      </w:r>
      <w:r>
        <w:rPr>
          <w:rFonts w:ascii="Arial" w:hAnsi="Arial" w:cs="Arial"/>
          <w:b/>
          <w:sz w:val="24"/>
          <w:szCs w:val="24"/>
          <w:lang w:val="pt-BR" w:eastAsia="pt-BR"/>
        </w:rPr>
        <w:t>N 8.590.869,80 E 552.892,50</w:t>
      </w:r>
      <w:r>
        <w:rPr>
          <w:rFonts w:ascii="Arial" w:hAnsi="Arial" w:cs="Arial"/>
          <w:sz w:val="24"/>
          <w:szCs w:val="24"/>
          <w:lang w:val="pt-BR" w:eastAsia="pt-BR"/>
        </w:rPr>
        <w:t xml:space="preserve"> com 25,5 km de extensão até o vértice </w:t>
      </w:r>
      <w:r>
        <w:rPr>
          <w:rFonts w:ascii="Arial" w:hAnsi="Arial" w:cs="Arial"/>
          <w:b/>
          <w:sz w:val="24"/>
          <w:szCs w:val="24"/>
          <w:lang w:val="pt-BR" w:eastAsia="pt-BR"/>
        </w:rPr>
        <w:t>V2</w:t>
      </w:r>
      <w:r>
        <w:rPr>
          <w:rFonts w:ascii="Arial" w:hAnsi="Arial" w:cs="Arial"/>
          <w:sz w:val="24"/>
          <w:szCs w:val="24"/>
          <w:lang w:val="pt-BR" w:eastAsia="pt-BR"/>
        </w:rPr>
        <w:t xml:space="preserve">, de coordenadas </w:t>
      </w:r>
      <w:r>
        <w:rPr>
          <w:rFonts w:ascii="Arial" w:hAnsi="Arial" w:cs="Arial"/>
          <w:b/>
          <w:sz w:val="24"/>
          <w:szCs w:val="24"/>
          <w:lang w:val="pt-BR" w:eastAsia="pt-BR"/>
        </w:rPr>
        <w:t>N 8.597.195,80 E 569.961,10</w:t>
      </w:r>
      <w:r>
        <w:rPr>
          <w:rFonts w:ascii="Arial" w:hAnsi="Arial" w:cs="Arial"/>
          <w:sz w:val="24"/>
          <w:szCs w:val="24"/>
          <w:lang w:val="pt-BR" w:eastAsia="pt-BR"/>
        </w:rPr>
        <w:t xml:space="preserve">  ponto final da descrição deste traçado.</w:t>
      </w:r>
    </w:p>
    <w:p w14:paraId="2EC66B28">
      <w:pPr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/>
        <w:autoSpaceDN/>
        <w:spacing w:line="360" w:lineRule="auto"/>
        <w:ind w:firstLine="720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74FCBAAA">
      <w:pPr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/>
        <w:autoSpaceDN/>
        <w:spacing w:line="360" w:lineRule="auto"/>
        <w:ind w:firstLine="709"/>
        <w:rPr>
          <w:rFonts w:ascii="Arial" w:hAnsi="Arial" w:cs="Arial"/>
          <w:sz w:val="24"/>
          <w:szCs w:val="24"/>
          <w:lang w:val="pt-BR" w:eastAsia="pt-BR"/>
        </w:rPr>
      </w:pPr>
      <w:r>
        <w:rPr>
          <w:rFonts w:ascii="Arial" w:hAnsi="Arial" w:cs="Arial"/>
          <w:b/>
          <w:sz w:val="24"/>
          <w:szCs w:val="24"/>
          <w:lang w:val="pt-BR" w:eastAsia="pt-BR"/>
        </w:rPr>
        <w:t>Art. 2°.</w:t>
      </w:r>
      <w:r>
        <w:rPr>
          <w:rFonts w:ascii="Arial" w:hAnsi="Arial" w:cs="Arial"/>
          <w:sz w:val="24"/>
          <w:szCs w:val="24"/>
          <w:lang w:val="pt-BR" w:eastAsia="pt-BR"/>
        </w:rPr>
        <w:t xml:space="preserve"> A presente ciclovia passa a integrar a malha viária Municipal.</w:t>
      </w:r>
    </w:p>
    <w:p w14:paraId="56367FAB">
      <w:pPr>
        <w:widowControl/>
        <w:autoSpaceDE/>
        <w:autoSpaceDN/>
        <w:spacing w:line="360" w:lineRule="auto"/>
        <w:ind w:firstLine="709"/>
        <w:jc w:val="both"/>
        <w:rPr>
          <w:rFonts w:ascii="Arial" w:hAnsi="Arial" w:cs="Arial"/>
          <w:sz w:val="24"/>
          <w:szCs w:val="24"/>
          <w:lang w:val="pt-BR" w:eastAsia="pt-BR"/>
        </w:rPr>
      </w:pPr>
      <w:r>
        <w:rPr>
          <w:rFonts w:ascii="Arial" w:hAnsi="Arial" w:cs="Arial"/>
          <w:b/>
          <w:sz w:val="24"/>
          <w:szCs w:val="24"/>
          <w:lang w:val="pt-BR" w:eastAsia="pt-BR"/>
        </w:rPr>
        <w:t>Parágrafo único</w:t>
      </w:r>
      <w:r>
        <w:rPr>
          <w:rFonts w:ascii="Arial" w:hAnsi="Arial" w:cs="Arial"/>
          <w:sz w:val="24"/>
          <w:szCs w:val="24"/>
          <w:lang w:val="pt-BR" w:eastAsia="pt-BR"/>
        </w:rPr>
        <w:t>. Integra a presente lei a imagem via satélite (mapa).</w:t>
      </w:r>
    </w:p>
    <w:p w14:paraId="40A85595">
      <w:pPr>
        <w:widowControl/>
        <w:autoSpaceDE/>
        <w:autoSpaceDN/>
        <w:spacing w:line="360" w:lineRule="auto"/>
        <w:ind w:firstLine="709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14570B10">
      <w:pPr>
        <w:widowControl/>
        <w:autoSpaceDE/>
        <w:autoSpaceDN/>
        <w:spacing w:line="360" w:lineRule="auto"/>
        <w:ind w:firstLine="709"/>
        <w:jc w:val="both"/>
        <w:rPr>
          <w:rFonts w:ascii="Arial" w:hAnsi="Arial" w:cs="Arial"/>
          <w:sz w:val="24"/>
          <w:szCs w:val="24"/>
          <w:lang w:val="pt-BR" w:eastAsia="pt-BR"/>
        </w:rPr>
      </w:pPr>
      <w:r>
        <w:rPr>
          <w:rFonts w:ascii="Arial" w:hAnsi="Arial" w:cs="Arial"/>
          <w:b/>
          <w:sz w:val="24"/>
          <w:szCs w:val="24"/>
          <w:lang w:val="pt-BR" w:eastAsia="pt-BR"/>
        </w:rPr>
        <w:t>Art. 3º.</w:t>
      </w:r>
      <w:r>
        <w:rPr>
          <w:rFonts w:ascii="Arial" w:hAnsi="Arial" w:cs="Arial"/>
          <w:sz w:val="24"/>
          <w:szCs w:val="24"/>
          <w:lang w:val="pt-BR" w:eastAsia="pt-BR"/>
        </w:rPr>
        <w:t xml:space="preserve">  Esta lei tem fulcro legal na legislação municipal vigente, respeitando todos os direitos normativos à espécie.</w:t>
      </w:r>
    </w:p>
    <w:p w14:paraId="4AB6AC2F">
      <w:pPr>
        <w:widowControl/>
        <w:autoSpaceDE/>
        <w:autoSpaceDN/>
        <w:spacing w:line="360" w:lineRule="auto"/>
        <w:ind w:firstLine="709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7ECA4AF6">
      <w:pPr>
        <w:widowControl/>
        <w:autoSpaceDE/>
        <w:autoSpaceDN/>
        <w:spacing w:line="360" w:lineRule="auto"/>
        <w:ind w:firstLine="709"/>
        <w:jc w:val="both"/>
        <w:rPr>
          <w:rFonts w:ascii="Arial" w:hAnsi="Arial" w:cs="Arial"/>
          <w:sz w:val="24"/>
          <w:szCs w:val="24"/>
          <w:lang w:val="pt-BR" w:eastAsia="pt-BR"/>
        </w:rPr>
      </w:pPr>
      <w:r>
        <w:rPr>
          <w:rFonts w:ascii="Arial" w:hAnsi="Arial" w:cs="Arial"/>
          <w:b/>
          <w:sz w:val="24"/>
          <w:szCs w:val="24"/>
          <w:lang w:val="pt-BR" w:eastAsia="pt-BR"/>
        </w:rPr>
        <w:t>Art. 4º</w:t>
      </w:r>
      <w:r>
        <w:rPr>
          <w:rFonts w:ascii="Arial" w:hAnsi="Arial" w:cs="Arial"/>
          <w:sz w:val="24"/>
          <w:szCs w:val="24"/>
          <w:lang w:val="pt-BR" w:eastAsia="pt-BR"/>
        </w:rPr>
        <w:t>. Esta lei entrará em vigor na data de sua publicação, revogadas as disposições em contrário.</w:t>
      </w:r>
    </w:p>
    <w:p w14:paraId="3F2AF7BD">
      <w:pPr>
        <w:widowControl/>
        <w:autoSpaceDE/>
        <w:autoSpaceDN/>
        <w:ind w:firstLine="1701"/>
        <w:jc w:val="both"/>
        <w:rPr>
          <w:rFonts w:ascii="Arial" w:hAnsi="Arial" w:cs="Arial"/>
          <w:sz w:val="24"/>
          <w:szCs w:val="24"/>
          <w:lang w:val="pt-BR" w:eastAsia="pt-BR"/>
        </w:rPr>
      </w:pPr>
      <w:r>
        <w:rPr>
          <w:rFonts w:ascii="Arial" w:hAnsi="Arial" w:cs="Arial"/>
          <w:sz w:val="24"/>
          <w:szCs w:val="24"/>
          <w:lang w:val="pt-BR" w:eastAsia="pt-BR"/>
        </w:rPr>
        <w:t xml:space="preserve">Câmara Municipal de Tapurah, Estado de Mato Grosso, aos </w:t>
      </w:r>
      <w:r>
        <w:rPr>
          <w:rFonts w:hint="default" w:ascii="Arial" w:hAnsi="Arial" w:cs="Arial"/>
          <w:sz w:val="24"/>
          <w:szCs w:val="24"/>
          <w:lang w:val="en-US" w:eastAsia="pt-BR"/>
        </w:rPr>
        <w:t>três</w:t>
      </w:r>
      <w:r>
        <w:rPr>
          <w:rFonts w:ascii="Arial" w:hAnsi="Arial" w:cs="Arial"/>
          <w:sz w:val="24"/>
          <w:szCs w:val="24"/>
          <w:lang w:val="pt-BR" w:eastAsia="pt-BR"/>
        </w:rPr>
        <w:t xml:space="preserve"> dias do mês de </w:t>
      </w:r>
      <w:r>
        <w:rPr>
          <w:rFonts w:hint="default" w:ascii="Arial" w:hAnsi="Arial" w:cs="Arial"/>
          <w:sz w:val="24"/>
          <w:szCs w:val="24"/>
          <w:lang w:val="en-US" w:eastAsia="pt-BR"/>
        </w:rPr>
        <w:t>setembr</w:t>
      </w:r>
      <w:r>
        <w:rPr>
          <w:rFonts w:ascii="Arial" w:hAnsi="Arial" w:cs="Arial"/>
          <w:sz w:val="24"/>
          <w:szCs w:val="24"/>
          <w:lang w:val="pt-BR" w:eastAsia="pt-BR"/>
        </w:rPr>
        <w:t>o de 2024.</w:t>
      </w:r>
    </w:p>
    <w:p w14:paraId="6F2E287A">
      <w:pPr>
        <w:widowControl/>
        <w:autoSpaceDE/>
        <w:autoSpaceDN/>
        <w:ind w:firstLine="1701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08B909DA">
      <w:pPr>
        <w:widowControl/>
        <w:autoSpaceDE/>
        <w:autoSpaceDN/>
        <w:ind w:firstLine="1701"/>
        <w:jc w:val="both"/>
        <w:rPr>
          <w:rFonts w:ascii="Arial" w:hAnsi="Arial" w:cs="Arial"/>
          <w:sz w:val="24"/>
          <w:szCs w:val="24"/>
          <w:lang w:val="pt-BR" w:eastAsia="pt-BR"/>
        </w:rPr>
      </w:pPr>
      <w:r>
        <w:rPr>
          <w:rFonts w:ascii="Arial" w:hAnsi="Arial" w:cs="Arial"/>
          <w:sz w:val="24"/>
          <w:szCs w:val="24"/>
          <w:lang w:val="pt-BR" w:eastAsia="pt-BR"/>
        </w:rPr>
        <w:t xml:space="preserve">                                             </w:t>
      </w:r>
    </w:p>
    <w:p w14:paraId="3BAEAE4C">
      <w:pPr>
        <w:pStyle w:val="4"/>
        <w:spacing w:before="1"/>
        <w:rPr>
          <w:sz w:val="23"/>
        </w:rPr>
        <w:sectPr>
          <w:headerReference r:id="rId3" w:type="default"/>
          <w:footerReference r:id="rId4" w:type="default"/>
          <w:type w:val="continuous"/>
          <w:pgSz w:w="11910" w:h="16840"/>
          <w:pgMar w:top="1418" w:right="1701" w:bottom="851" w:left="1701" w:header="578" w:footer="0" w:gutter="0"/>
          <w:pgNumType w:start="1"/>
          <w:cols w:space="720" w:num="1"/>
        </w:sectPr>
      </w:pPr>
    </w:p>
    <w:p w14:paraId="3A0DF990">
      <w:pPr>
        <w:widowControl/>
        <w:autoSpaceDE/>
        <w:autoSpaceDN/>
        <w:spacing w:before="120" w:after="120"/>
        <w:jc w:val="center"/>
        <w:rPr>
          <w:rFonts w:ascii="Arial" w:hAnsi="Arial" w:cs="Arial"/>
          <w:sz w:val="23"/>
          <w:szCs w:val="23"/>
          <w:lang w:val="pt-BR" w:eastAsia="pt-BR"/>
        </w:rPr>
      </w:pPr>
      <w:r>
        <w:rPr>
          <w:rFonts w:ascii="Arial" w:hAnsi="Arial" w:cs="Arial"/>
          <w:sz w:val="23"/>
          <w:szCs w:val="23"/>
          <w:lang w:val="pt-BR" w:eastAsia="pt-BR"/>
        </w:rPr>
        <w:t>ANEXOS</w:t>
      </w:r>
    </w:p>
    <w:p w14:paraId="5C9E7EA9">
      <w:pPr>
        <w:pStyle w:val="4"/>
        <w:ind w:left="-284" w:right="3093"/>
        <w:jc w:val="center"/>
        <w:rPr>
          <w:rFonts w:ascii="Arial" w:hAnsi="Arial" w:cs="Arial"/>
        </w:rPr>
      </w:pPr>
      <w:r>
        <w:rPr>
          <w:rFonts w:ascii="Arial" w:hAnsi="Arial" w:cs="Arial"/>
          <w:lang w:val="pt-BR" w:eastAsia="pt-BR"/>
        </w:rPr>
        <w:drawing>
          <wp:inline distT="0" distB="0" distL="0" distR="0">
            <wp:extent cx="9740900" cy="442531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40900" cy="44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91AE1">
      <w:pPr>
        <w:pStyle w:val="4"/>
        <w:ind w:right="3093"/>
        <w:jc w:val="center"/>
        <w:rPr>
          <w:rFonts w:ascii="Arial" w:hAnsi="Arial" w:cs="Arial"/>
        </w:rPr>
      </w:pPr>
    </w:p>
    <w:p w14:paraId="31C3EB37">
      <w:pPr>
        <w:pStyle w:val="4"/>
        <w:ind w:right="3093"/>
        <w:rPr>
          <w:rFonts w:ascii="Arial" w:hAnsi="Arial" w:cs="Arial"/>
        </w:rPr>
      </w:pPr>
    </w:p>
    <w:sectPr>
      <w:pgSz w:w="16840" w:h="11910" w:orient="landscape"/>
      <w:pgMar w:top="740" w:right="280" w:bottom="1020" w:left="1220" w:header="578" w:footer="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F576A1"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0100EF">
    <w:pPr>
      <w:pStyle w:val="5"/>
      <w:jc w:val="center"/>
      <w:rPr>
        <w:rFonts w:ascii="Arial" w:hAnsi="Arial" w:cs="Arial"/>
        <w:b/>
        <w:sz w:val="33"/>
        <w:szCs w:val="33"/>
      </w:rPr>
    </w:pPr>
    <w:bookmarkStart w:id="0" w:name="_GoBack"/>
    <w:r>
      <w:rPr>
        <w:rFonts w:ascii="Arial" w:hAnsi="Arial" w:cs="Arial"/>
        <w:b/>
        <w:sz w:val="33"/>
        <w:szCs w:val="33"/>
      </w:rPr>
      <w:t>CAMARA MUNICIPAL DE TAPURAH</w:t>
    </w:r>
  </w:p>
  <w:p w14:paraId="737876B5">
    <w:pPr>
      <w:pStyle w:val="5"/>
      <w:jc w:val="center"/>
      <w:rPr>
        <w:rFonts w:ascii="Arial" w:hAnsi="Arial" w:cs="Arial"/>
        <w:b/>
        <w:sz w:val="33"/>
        <w:szCs w:val="33"/>
      </w:rPr>
    </w:pPr>
    <w:r>
      <w:rPr>
        <w:lang w:val="pt-BR" w:eastAsia="pt-BR"/>
      </w:rPr>
      <w:drawing>
        <wp:anchor distT="0" distB="0" distL="114300" distR="114300" simplePos="0" relativeHeight="251659264" behindDoc="1" locked="0" layoutInCell="1" allowOverlap="0">
          <wp:simplePos x="0" y="0"/>
          <wp:positionH relativeFrom="column">
            <wp:posOffset>-584835</wp:posOffset>
          </wp:positionH>
          <wp:positionV relativeFrom="paragraph">
            <wp:posOffset>-301625</wp:posOffset>
          </wp:positionV>
          <wp:extent cx="990600" cy="866775"/>
          <wp:effectExtent l="0" t="0" r="0" b="9525"/>
          <wp:wrapThrough wrapText="bothSides">
            <wp:wrapPolygon>
              <wp:start x="0" y="0"/>
              <wp:lineTo x="0" y="21363"/>
              <wp:lineTo x="21185" y="21363"/>
              <wp:lineTo x="21185" y="0"/>
              <wp:lineTo x="0" y="0"/>
            </wp:wrapPolygon>
          </wp:wrapThrough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90600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sz w:val="33"/>
        <w:szCs w:val="33"/>
      </w:rPr>
      <w:t>ESTADO DE MATO GROSSO</w:t>
    </w:r>
  </w:p>
  <w:p w14:paraId="043C5B24">
    <w:pPr>
      <w:pStyle w:val="5"/>
      <w:jc w:val="center"/>
      <w:rPr>
        <w:rFonts w:ascii="Arial" w:hAnsi="Arial" w:cs="Arial"/>
        <w:b/>
        <w:sz w:val="32"/>
        <w:szCs w:val="32"/>
      </w:rPr>
    </w:pPr>
    <w:r>
      <w:rPr>
        <w:rFonts w:ascii="Arial" w:hAnsi="Arial" w:cs="Arial"/>
        <w:b/>
        <w:sz w:val="32"/>
        <w:szCs w:val="32"/>
      </w:rPr>
      <w:t>CNPJ: 33.005.083.0001/60</w:t>
    </w:r>
  </w:p>
  <w:p w14:paraId="3CC04AE1">
    <w:pPr>
      <w:pStyle w:val="5"/>
      <w:jc w:val="center"/>
      <w:rPr>
        <w:rFonts w:ascii="Arial" w:hAnsi="Arial" w:cs="Arial"/>
        <w:b/>
        <w:bCs/>
        <w:sz w:val="12"/>
        <w:szCs w:val="12"/>
      </w:rPr>
    </w:pPr>
  </w:p>
  <w:p w14:paraId="2132392E">
    <w:pPr>
      <w:pStyle w:val="5"/>
      <w:jc w:val="center"/>
      <w:rPr>
        <w:rFonts w:ascii="Arial" w:hAnsi="Arial" w:cs="Arial"/>
        <w:b/>
        <w:bCs/>
        <w:sz w:val="17"/>
        <w:szCs w:val="17"/>
      </w:rPr>
    </w:pPr>
    <w:r>
      <w:rPr>
        <w:rFonts w:ascii="Arial" w:hAnsi="Arial" w:cs="Arial"/>
        <w:b/>
        <w:bCs/>
        <w:sz w:val="17"/>
        <w:szCs w:val="17"/>
      </w:rPr>
      <w:t>Avenid</w:t>
    </w:r>
    <w:bookmarkEnd w:id="0"/>
    <w:r>
      <w:rPr>
        <w:rFonts w:ascii="Arial" w:hAnsi="Arial" w:cs="Arial"/>
        <w:b/>
        <w:bCs/>
        <w:sz w:val="17"/>
        <w:szCs w:val="17"/>
      </w:rPr>
      <w:t>a Paraná, 1.725 – CENTRO- CEP 78.573-000 – MUNICÍPIO DE TAPURAH – MT</w:t>
    </w:r>
  </w:p>
  <w:p w14:paraId="0193E4BA">
    <w:pPr>
      <w:pStyle w:val="5"/>
      <w:jc w:val="center"/>
      <w:rPr>
        <w:rFonts w:ascii="Arial" w:hAnsi="Arial" w:cs="Arial"/>
        <w:b/>
        <w:bCs/>
        <w:sz w:val="17"/>
        <w:szCs w:val="17"/>
      </w:rPr>
    </w:pPr>
    <w:r>
      <w:rPr>
        <w:rFonts w:ascii="Arial" w:hAnsi="Arial" w:cs="Arial"/>
        <w:b/>
        <w:bCs/>
        <w:sz w:val="17"/>
        <w:szCs w:val="17"/>
      </w:rPr>
      <w:t>TEL: (066) 3547-1341</w:t>
    </w:r>
  </w:p>
  <w:p w14:paraId="05F5F952">
    <w:pPr>
      <w:pStyle w:val="5"/>
    </w:pPr>
  </w:p>
  <w:p w14:paraId="35DFF6DD">
    <w:pPr>
      <w:pStyle w:val="4"/>
      <w:spacing w:line="14" w:lineRule="auto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3E8A"/>
    <w:rsid w:val="000A5EF0"/>
    <w:rsid w:val="001866BD"/>
    <w:rsid w:val="001D6FE9"/>
    <w:rsid w:val="001D7A80"/>
    <w:rsid w:val="00212F60"/>
    <w:rsid w:val="00321E32"/>
    <w:rsid w:val="004F0F93"/>
    <w:rsid w:val="0075234F"/>
    <w:rsid w:val="00752712"/>
    <w:rsid w:val="007D4DE1"/>
    <w:rsid w:val="007E3C06"/>
    <w:rsid w:val="008002D4"/>
    <w:rsid w:val="008200BE"/>
    <w:rsid w:val="00875A1E"/>
    <w:rsid w:val="00883126"/>
    <w:rsid w:val="00A26BB6"/>
    <w:rsid w:val="00AD3E8A"/>
    <w:rsid w:val="00AE44ED"/>
    <w:rsid w:val="00B037C4"/>
    <w:rsid w:val="00B23E3E"/>
    <w:rsid w:val="00C2590C"/>
    <w:rsid w:val="00C4286D"/>
    <w:rsid w:val="00CD0435"/>
    <w:rsid w:val="00E95FE2"/>
    <w:rsid w:val="00F57212"/>
    <w:rsid w:val="00F610AF"/>
    <w:rsid w:val="00F90B96"/>
    <w:rsid w:val="1B676BA2"/>
    <w:rsid w:val="1F7567FD"/>
    <w:rsid w:val="68AD4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Times New Roman" w:hAnsi="Times New Roman" w:eastAsia="Times New Roman" w:cs="Times New Roman"/>
      <w:sz w:val="22"/>
      <w:szCs w:val="22"/>
      <w:lang w:val="pt-PT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sz w:val="24"/>
      <w:szCs w:val="24"/>
    </w:rPr>
  </w:style>
  <w:style w:type="paragraph" w:styleId="5">
    <w:name w:val="header"/>
    <w:basedOn w:val="1"/>
    <w:link w:val="12"/>
    <w:unhideWhenUsed/>
    <w:qFormat/>
    <w:uiPriority w:val="99"/>
    <w:pPr>
      <w:tabs>
        <w:tab w:val="center" w:pos="4252"/>
        <w:tab w:val="right" w:pos="8504"/>
      </w:tabs>
    </w:pPr>
  </w:style>
  <w:style w:type="paragraph" w:styleId="6">
    <w:name w:val="footer"/>
    <w:basedOn w:val="1"/>
    <w:link w:val="13"/>
    <w:unhideWhenUsed/>
    <w:qFormat/>
    <w:uiPriority w:val="99"/>
    <w:pPr>
      <w:tabs>
        <w:tab w:val="center" w:pos="4252"/>
        <w:tab w:val="right" w:pos="8504"/>
      </w:tabs>
    </w:pPr>
  </w:style>
  <w:style w:type="paragraph" w:styleId="7">
    <w:name w:val="Balloon Text"/>
    <w:basedOn w:val="1"/>
    <w:link w:val="14"/>
    <w:semiHidden/>
    <w:unhideWhenUsed/>
    <w:qFormat/>
    <w:uiPriority w:val="99"/>
    <w:rPr>
      <w:rFonts w:ascii="Segoe UI" w:hAnsi="Segoe UI" w:cs="Segoe UI"/>
      <w:sz w:val="18"/>
      <w:szCs w:val="18"/>
    </w:rPr>
  </w:style>
  <w:style w:type="table" w:styleId="8">
    <w:name w:val="Table Grid"/>
    <w:basedOn w:val="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1"/>
  </w:style>
  <w:style w:type="paragraph" w:customStyle="1" w:styleId="11">
    <w:name w:val="Table Paragraph"/>
    <w:basedOn w:val="1"/>
    <w:qFormat/>
    <w:uiPriority w:val="1"/>
  </w:style>
  <w:style w:type="character" w:customStyle="1" w:styleId="12">
    <w:name w:val="Cabeçalho Char"/>
    <w:basedOn w:val="2"/>
    <w:link w:val="5"/>
    <w:qFormat/>
    <w:uiPriority w:val="99"/>
    <w:rPr>
      <w:rFonts w:ascii="Times New Roman" w:hAnsi="Times New Roman" w:eastAsia="Times New Roman" w:cs="Times New Roman"/>
      <w:lang w:val="pt-PT"/>
    </w:rPr>
  </w:style>
  <w:style w:type="character" w:customStyle="1" w:styleId="13">
    <w:name w:val="Rodapé Char"/>
    <w:basedOn w:val="2"/>
    <w:link w:val="6"/>
    <w:qFormat/>
    <w:uiPriority w:val="99"/>
    <w:rPr>
      <w:rFonts w:ascii="Times New Roman" w:hAnsi="Times New Roman" w:eastAsia="Times New Roman" w:cs="Times New Roman"/>
      <w:lang w:val="pt-PT"/>
    </w:rPr>
  </w:style>
  <w:style w:type="character" w:customStyle="1" w:styleId="14">
    <w:name w:val="Texto de balão Char"/>
    <w:basedOn w:val="2"/>
    <w:link w:val="7"/>
    <w:semiHidden/>
    <w:qFormat/>
    <w:uiPriority w:val="99"/>
    <w:rPr>
      <w:rFonts w:ascii="Segoe UI" w:hAnsi="Segoe UI" w:eastAsia="Times New Roman" w:cs="Segoe UI"/>
      <w:sz w:val="18"/>
      <w:szCs w:val="18"/>
      <w:lang w:val="pt-PT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221</Words>
  <Characters>1198</Characters>
  <Lines>9</Lines>
  <Paragraphs>2</Paragraphs>
  <TotalTime>19</TotalTime>
  <ScaleCrop>false</ScaleCrop>
  <LinksUpToDate>false</LinksUpToDate>
  <CharactersWithSpaces>1417</CharactersWithSpaces>
  <Application>WPS Office_12.2.0.17562_F1E327BC-269C-435d-A152-05C5408002CA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2024-08-07T18:50:00Z</dcterms:created>
  <dc:creator>Izabel Difon</dc:creator>
  <cp:lastModifiedBy>Amarildo</cp:lastModifiedBy>
  <cp:lastPrinted>2024-08-08T17:21:00Z</cp:lastPrinted>
  <dcterms:modified xsi:type="dcterms:W3CDTF">2024-08-27T18:48:37Z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2024-07-08T00:00:00Z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2024-07-09T00:00:00Z</vt:filetime>
  </property>
  <property fmtid="{D5CDD505-2E9C-101B-9397-08002B2CF9AE}" pid="5" name="KSOProductBuildVer">
    <vt:lpwstr>1046-12.2.0.17562</vt:lpwstr>
  </property>
  <property fmtid="{D5CDD505-2E9C-101B-9397-08002B2CF9AE}" pid="6" name="ICV">
    <vt:lpwstr>07AAE67B8049485E90AFFC1168BE1D69_12</vt:lpwstr>
  </property>
</Properties>
</file>